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3727F9">
        <w:rPr>
          <w:b/>
          <w:sz w:val="32"/>
          <w:szCs w:val="32"/>
        </w:rPr>
        <w:t>H</w:t>
      </w:r>
    </w:p>
    <w:p w:rsidR="002C04CA" w:rsidRPr="00C8497B" w:rsidRDefault="002C04CA" w:rsidP="002C04CA">
      <w:pPr>
        <w:pStyle w:val="Akapitzlist"/>
        <w:jc w:val="center"/>
        <w:rPr>
          <w:b/>
          <w:sz w:val="32"/>
          <w:szCs w:val="32"/>
        </w:rPr>
      </w:pPr>
    </w:p>
    <w:p w:rsidR="004B420D" w:rsidRPr="00752CE5" w:rsidRDefault="004B420D" w:rsidP="004B420D">
      <w:pPr>
        <w:pStyle w:val="Akapitzlist"/>
        <w:jc w:val="center"/>
        <w:rPr>
          <w:b/>
          <w:color w:val="FF0000"/>
          <w:sz w:val="32"/>
          <w:szCs w:val="32"/>
        </w:rPr>
      </w:pPr>
    </w:p>
    <w:p w:rsidR="00B71BBC" w:rsidRDefault="00B71BBC" w:rsidP="006D4D7F">
      <w:pPr>
        <w:pStyle w:val="Akapitzlist"/>
        <w:numPr>
          <w:ilvl w:val="0"/>
          <w:numId w:val="35"/>
        </w:numPr>
      </w:pPr>
      <w:r>
        <w:t>Dodano prostą możliwość konfigurowania raportu zaległości z podziałem na raty</w:t>
      </w:r>
    </w:p>
    <w:p w:rsidR="00B71BBC" w:rsidRDefault="00B71BBC" w:rsidP="006D4D7F">
      <w:pPr>
        <w:pStyle w:val="Akapitzlist"/>
      </w:pPr>
      <w:proofErr w:type="gramStart"/>
      <w:r>
        <w:t>Aby  skonfigurować</w:t>
      </w:r>
      <w:proofErr w:type="gramEnd"/>
      <w:r>
        <w:t xml:space="preserve"> przedziały zaległościowe należy wejść do opcji</w:t>
      </w:r>
    </w:p>
    <w:p w:rsidR="00B71BBC" w:rsidRDefault="00B71BBC" w:rsidP="00B71BBC">
      <w:pPr>
        <w:pStyle w:val="Akapitzlist"/>
        <w:ind w:left="502"/>
      </w:pPr>
    </w:p>
    <w:p w:rsidR="00B71BBC" w:rsidRDefault="00B71BBC" w:rsidP="00B71BBC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53100" cy="3790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BC" w:rsidRDefault="00B71BBC" w:rsidP="00B71BBC">
      <w:pPr>
        <w:pStyle w:val="Akapitzlist"/>
        <w:ind w:left="502"/>
      </w:pPr>
    </w:p>
    <w:p w:rsidR="00B71BBC" w:rsidRDefault="00B71BBC" w:rsidP="00B71BBC">
      <w:pPr>
        <w:pStyle w:val="Akapitzlist"/>
        <w:ind w:left="502"/>
      </w:pPr>
    </w:p>
    <w:p w:rsidR="00B71BBC" w:rsidRDefault="00B71BBC" w:rsidP="00B71BBC">
      <w:pPr>
        <w:pStyle w:val="Akapitzlist"/>
        <w:ind w:left="502"/>
      </w:pPr>
    </w:p>
    <w:p w:rsidR="00B71BBC" w:rsidRDefault="00B71BBC" w:rsidP="00B71BBC">
      <w:pPr>
        <w:pStyle w:val="Akapitzlist"/>
        <w:ind w:left="502"/>
      </w:pPr>
      <w:r>
        <w:t>Baza-&gt;Konfiguracja</w:t>
      </w:r>
    </w:p>
    <w:p w:rsidR="00B71BBC" w:rsidRDefault="00B71BBC" w:rsidP="00B71BBC">
      <w:pPr>
        <w:pStyle w:val="Akapitzlist"/>
        <w:ind w:left="502"/>
      </w:pPr>
      <w:r>
        <w:t>I wyszukać parametr „Raport zaległości z podziałem na raty”</w:t>
      </w:r>
    </w:p>
    <w:p w:rsidR="00B71BBC" w:rsidRDefault="00B71BBC" w:rsidP="00B71BBC">
      <w:pPr>
        <w:pStyle w:val="Akapitzlist"/>
        <w:ind w:left="502"/>
      </w:pPr>
    </w:p>
    <w:p w:rsidR="00B71BBC" w:rsidRDefault="00B71BBC" w:rsidP="00B71BBC">
      <w:pPr>
        <w:pStyle w:val="Akapitzlist"/>
        <w:ind w:left="502"/>
      </w:pPr>
    </w:p>
    <w:p w:rsidR="006D4D7F" w:rsidRPr="006D4D7F" w:rsidRDefault="006D4D7F" w:rsidP="006D4D7F">
      <w:pPr>
        <w:pStyle w:val="Akapitzlist"/>
        <w:ind w:left="502"/>
      </w:pPr>
      <w:bookmarkStart w:id="0" w:name="_GoBack"/>
      <w:bookmarkEnd w:id="0"/>
    </w:p>
    <w:p w:rsidR="006D4D7F" w:rsidRDefault="006D4D7F" w:rsidP="006D4D7F">
      <w:pPr>
        <w:pStyle w:val="Akapitzlist"/>
        <w:numPr>
          <w:ilvl w:val="0"/>
          <w:numId w:val="35"/>
        </w:numPr>
      </w:pPr>
      <w:r>
        <w:t xml:space="preserve">Dodano możliwość wczytywania plików </w:t>
      </w:r>
      <w:proofErr w:type="spellStart"/>
      <w:proofErr w:type="gramStart"/>
      <w:r>
        <w:t>word</w:t>
      </w:r>
      <w:proofErr w:type="spellEnd"/>
      <w:r>
        <w:t xml:space="preserve"> ( </w:t>
      </w:r>
      <w:r>
        <w:rPr>
          <w:b/>
        </w:rPr>
        <w:t>.</w:t>
      </w:r>
      <w:proofErr w:type="spellStart"/>
      <w:r>
        <w:rPr>
          <w:b/>
        </w:rPr>
        <w:t>doc</w:t>
      </w:r>
      <w:proofErr w:type="spellEnd"/>
      <w:r>
        <w:rPr>
          <w:b/>
        </w:rPr>
        <w:t>, .</w:t>
      </w:r>
      <w:proofErr w:type="spellStart"/>
      <w:proofErr w:type="gramEnd"/>
      <w:r>
        <w:rPr>
          <w:b/>
        </w:rPr>
        <w:t>docx</w:t>
      </w:r>
      <w:proofErr w:type="spellEnd"/>
      <w:r>
        <w:rPr>
          <w:b/>
        </w:rPr>
        <w:t>, .</w:t>
      </w:r>
      <w:proofErr w:type="gramStart"/>
      <w:r>
        <w:rPr>
          <w:b/>
        </w:rPr>
        <w:t xml:space="preserve">rtf </w:t>
      </w:r>
      <w:r>
        <w:t xml:space="preserve">) </w:t>
      </w:r>
      <w:proofErr w:type="gramEnd"/>
      <w:r>
        <w:t>z znacznikami jako wydruki do edytora pism. Plik zapisujemy we wzorcach wydruków (Baza</w:t>
      </w:r>
      <w:r>
        <w:sym w:font="Wingdings" w:char="F0E0"/>
      </w:r>
      <w:r>
        <w:t xml:space="preserve">Wydruki) </w:t>
      </w: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</w:pPr>
      <w:r>
        <w:t>Umieszczamy w nim znaczniki w nawiasach kwadratowych np. [FNAZWA]</w:t>
      </w:r>
    </w:p>
    <w:p w:rsidR="006D4D7F" w:rsidRDefault="006D4D7F" w:rsidP="006D4D7F">
      <w:pPr>
        <w:pStyle w:val="Akapitzlist"/>
      </w:pPr>
      <w:r>
        <w:t>Po uruchomieniu pliku w miejsce tego znacznika pojawi się nazwa Pożyczkobiorcy. Wszystkie dostępne znaczniki umieszczono w dokumentacji (ZNACZNIKI.</w:t>
      </w:r>
      <w:proofErr w:type="gramStart"/>
      <w:r>
        <w:t>doc</w:t>
      </w:r>
      <w:proofErr w:type="gramEnd"/>
      <w:r>
        <w:t xml:space="preserve">) </w:t>
      </w: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</w:pPr>
      <w:r>
        <w:t xml:space="preserve">Aby sumować znaczniki kwotowe należy użyć funkcji </w:t>
      </w:r>
      <w:r>
        <w:rPr>
          <w:b/>
        </w:rPr>
        <w:t xml:space="preserve">suma </w:t>
      </w:r>
      <w:r>
        <w:t>Poniżej przykład</w:t>
      </w:r>
    </w:p>
    <w:p w:rsidR="006D4D7F" w:rsidRDefault="006D4D7F" w:rsidP="006D4D7F">
      <w:pPr>
        <w:pStyle w:val="Akapitzlist"/>
        <w:rPr>
          <w:b/>
        </w:rPr>
      </w:pPr>
      <w:r w:rsidRPr="006E24F3">
        <w:rPr>
          <w:b/>
        </w:rPr>
        <w:t>[</w:t>
      </w:r>
      <w:proofErr w:type="spellStart"/>
      <w:r w:rsidRPr="006E24F3">
        <w:rPr>
          <w:b/>
        </w:rPr>
        <w:t>sumaKWKR+KWODS+KWPROW</w:t>
      </w:r>
      <w:proofErr w:type="spellEnd"/>
      <w:r w:rsidRPr="006E24F3">
        <w:rPr>
          <w:b/>
        </w:rPr>
        <w:t>]</w:t>
      </w:r>
    </w:p>
    <w:p w:rsidR="006D4D7F" w:rsidRDefault="006D4D7F" w:rsidP="006D4D7F">
      <w:pPr>
        <w:pStyle w:val="Akapitzlist"/>
        <w:rPr>
          <w:b/>
        </w:rPr>
      </w:pPr>
    </w:p>
    <w:p w:rsidR="006D4D7F" w:rsidRDefault="006D4D7F" w:rsidP="006D4D7F">
      <w:pPr>
        <w:pStyle w:val="Akapitzlist"/>
      </w:pPr>
      <w:r>
        <w:lastRenderedPageBreak/>
        <w:t>Na rysunku mamy przykład wstawienia znaczników to tekstu</w:t>
      </w:r>
    </w:p>
    <w:p w:rsidR="006D4D7F" w:rsidRDefault="006D4D7F" w:rsidP="006D4D7F"/>
    <w:p w:rsidR="006D4D7F" w:rsidRDefault="006D4D7F" w:rsidP="006D4D7F">
      <w:r>
        <w:rPr>
          <w:noProof/>
          <w:lang w:eastAsia="pl-PL"/>
        </w:rPr>
        <w:drawing>
          <wp:inline distT="0" distB="0" distL="0" distR="0" wp14:anchorId="22171165" wp14:editId="6A031EBD">
            <wp:extent cx="5753100" cy="2371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pPr>
        <w:ind w:left="705"/>
      </w:pPr>
      <w:r>
        <w:t>Po uruchomieniu takiego pliku w edytorze pism w miejscach oznaczonych czerwonymi ramkami system zaciągnie informacje z bazy danych</w:t>
      </w:r>
    </w:p>
    <w:p w:rsidR="006D4D7F" w:rsidRDefault="006D4D7F" w:rsidP="006D4D7F">
      <w:r>
        <w:rPr>
          <w:noProof/>
          <w:lang w:eastAsia="pl-PL"/>
        </w:rPr>
        <w:drawing>
          <wp:inline distT="0" distB="0" distL="0" distR="0" wp14:anchorId="14BF2AB4" wp14:editId="04D60067">
            <wp:extent cx="5753100" cy="1952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r>
        <w:t xml:space="preserve">Możemy taki wydruk formatować podczas podglądu, drukować lub zapisać na dysku. </w:t>
      </w:r>
    </w:p>
    <w:p w:rsidR="006D4D7F" w:rsidRDefault="006D4D7F" w:rsidP="006D4D7F">
      <w:r>
        <w:t xml:space="preserve">Rozwiązanie to omija potrzebę „przerysowywania” dokumentów na format </w:t>
      </w:r>
      <w:proofErr w:type="spellStart"/>
      <w:r>
        <w:t>pbazy</w:t>
      </w:r>
      <w:proofErr w:type="spellEnd"/>
      <w:r>
        <w:t xml:space="preserve">. Teraz w łatwy i szybki sposób, będzie można dołączyć każdy potrzebny dokument w </w:t>
      </w:r>
      <w:proofErr w:type="gramStart"/>
      <w:r>
        <w:t>formacie .</w:t>
      </w:r>
      <w:proofErr w:type="spellStart"/>
      <w:r>
        <w:t>doc</w:t>
      </w:r>
      <w:proofErr w:type="spellEnd"/>
      <w:r>
        <w:t>, .</w:t>
      </w:r>
      <w:proofErr w:type="spellStart"/>
      <w:proofErr w:type="gramEnd"/>
      <w:r>
        <w:t>docx</w:t>
      </w:r>
      <w:proofErr w:type="spellEnd"/>
    </w:p>
    <w:p w:rsidR="006D4D7F" w:rsidRDefault="006D4D7F" w:rsidP="006D4D7F"/>
    <w:p w:rsidR="006D4D7F" w:rsidRDefault="006D4D7F" w:rsidP="006D4D7F">
      <w:pPr>
        <w:pStyle w:val="Akapitzlist"/>
        <w:numPr>
          <w:ilvl w:val="0"/>
          <w:numId w:val="35"/>
        </w:numPr>
      </w:pPr>
      <w:r>
        <w:t>Do raportu stanów, spłat oraz wypłat dodano dodatkową kolumnę „przełożony” Jest to identyfikator kierownika pierwotnego danego pośrednika umowy</w:t>
      </w: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</w:pPr>
      <w:r>
        <w:rPr>
          <w:noProof/>
          <w:lang w:eastAsia="pl-PL"/>
        </w:rPr>
        <w:drawing>
          <wp:inline distT="0" distB="0" distL="0" distR="0" wp14:anchorId="55A633D9" wp14:editId="641FF807">
            <wp:extent cx="2533650" cy="600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  <w:numPr>
          <w:ilvl w:val="0"/>
          <w:numId w:val="35"/>
        </w:numPr>
      </w:pPr>
      <w:r>
        <w:t>W zaległościach dodano możliwość podglądu zaległości w ratach dla każdej umowy. Przycisk znajduje się w oknie zaległości po prawej stronie na panelu przycisków.</w:t>
      </w:r>
    </w:p>
    <w:p w:rsidR="006D4D7F" w:rsidRDefault="006D4D7F" w:rsidP="006D4D7F"/>
    <w:p w:rsidR="006D4D7F" w:rsidRDefault="006D4D7F" w:rsidP="006D4D7F">
      <w:pPr>
        <w:jc w:val="center"/>
      </w:pPr>
      <w:r>
        <w:rPr>
          <w:noProof/>
          <w:lang w:eastAsia="pl-PL"/>
        </w:rPr>
        <w:drawing>
          <wp:inline distT="0" distB="0" distL="0" distR="0" wp14:anchorId="4D974210" wp14:editId="3ECE4A23">
            <wp:extent cx="1428750" cy="952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r>
        <w:rPr>
          <w:noProof/>
          <w:lang w:eastAsia="pl-PL"/>
        </w:rPr>
        <w:drawing>
          <wp:inline distT="0" distB="0" distL="0" distR="0" wp14:anchorId="0AFEF0E4" wp14:editId="716C1BF0">
            <wp:extent cx="5753100" cy="2933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/>
    <w:p w:rsidR="006D4D7F" w:rsidRDefault="006D4D7F" w:rsidP="006D4D7F">
      <w:pPr>
        <w:pStyle w:val="Akapitzlist"/>
        <w:numPr>
          <w:ilvl w:val="0"/>
          <w:numId w:val="35"/>
        </w:numPr>
      </w:pPr>
      <w:r>
        <w:t>Zmodyfikowano rejestr pomocy publicznej o dodatkowe kolumny takie jak:</w:t>
      </w:r>
    </w:p>
    <w:p w:rsidR="006D4D7F" w:rsidRDefault="006D4D7F" w:rsidP="006D4D7F">
      <w:pPr>
        <w:pStyle w:val="Akapitzlist"/>
        <w:numPr>
          <w:ilvl w:val="0"/>
          <w:numId w:val="37"/>
        </w:numPr>
      </w:pPr>
      <w:r>
        <w:t>Data podpisania – data podpisania umowy pożyczkowej</w:t>
      </w:r>
    </w:p>
    <w:p w:rsidR="006D4D7F" w:rsidRDefault="006D4D7F" w:rsidP="006D4D7F">
      <w:pPr>
        <w:pStyle w:val="Akapitzlist"/>
        <w:numPr>
          <w:ilvl w:val="0"/>
          <w:numId w:val="37"/>
        </w:numPr>
      </w:pPr>
      <w:proofErr w:type="spellStart"/>
      <w:r>
        <w:t>Oproc</w:t>
      </w:r>
      <w:proofErr w:type="spellEnd"/>
      <w:r>
        <w:t xml:space="preserve">. Pożyczki – stopa </w:t>
      </w:r>
      <w:proofErr w:type="gramStart"/>
      <w:r>
        <w:t>procentowa na jaką</w:t>
      </w:r>
      <w:proofErr w:type="gramEnd"/>
      <w:r>
        <w:t xml:space="preserve"> udzielono daną pożyczkę</w:t>
      </w:r>
    </w:p>
    <w:p w:rsidR="006D4D7F" w:rsidRDefault="006D4D7F" w:rsidP="006D4D7F">
      <w:pPr>
        <w:pStyle w:val="Akapitzlist"/>
        <w:numPr>
          <w:ilvl w:val="0"/>
          <w:numId w:val="37"/>
        </w:numPr>
      </w:pPr>
      <w:r>
        <w:t xml:space="preserve">Stopa </w:t>
      </w:r>
      <w:proofErr w:type="spellStart"/>
      <w:r>
        <w:t>refer</w:t>
      </w:r>
      <w:proofErr w:type="spellEnd"/>
      <w:r>
        <w:t xml:space="preserve">. UE – stopa referencyjna </w:t>
      </w:r>
      <w:proofErr w:type="gramStart"/>
      <w:r>
        <w:t>UE po jakiej</w:t>
      </w:r>
      <w:proofErr w:type="gramEnd"/>
      <w:r>
        <w:t xml:space="preserve"> wyliczono Pomoc publiczna dla umowy</w:t>
      </w:r>
    </w:p>
    <w:p w:rsidR="006D4D7F" w:rsidRDefault="006D4D7F" w:rsidP="006D4D7F">
      <w:pPr>
        <w:pStyle w:val="Akapitzlist"/>
        <w:numPr>
          <w:ilvl w:val="0"/>
          <w:numId w:val="37"/>
        </w:numPr>
      </w:pPr>
      <w:r>
        <w:t xml:space="preserve">Data wyliczenia – data wyliczenia lub przeliczenia pomocy de </w:t>
      </w:r>
      <w:proofErr w:type="spellStart"/>
      <w:r>
        <w:t>minimis</w:t>
      </w:r>
      <w:proofErr w:type="spellEnd"/>
    </w:p>
    <w:p w:rsidR="006D4D7F" w:rsidRDefault="006D4D7F" w:rsidP="006D4D7F">
      <w:pPr>
        <w:pStyle w:val="Akapitzlist"/>
        <w:numPr>
          <w:ilvl w:val="0"/>
          <w:numId w:val="37"/>
        </w:numPr>
      </w:pPr>
      <w:r>
        <w:t>Metoda – metoda, które użyto do wyliczenia pomocy dla pożyczki</w:t>
      </w:r>
    </w:p>
    <w:p w:rsidR="006D4D7F" w:rsidRDefault="006D4D7F" w:rsidP="006D4D7F"/>
    <w:p w:rsidR="006D4D7F" w:rsidRDefault="006D4D7F" w:rsidP="006D4D7F">
      <w:r>
        <w:rPr>
          <w:noProof/>
          <w:lang w:eastAsia="pl-PL"/>
        </w:rPr>
        <w:lastRenderedPageBreak/>
        <w:drawing>
          <wp:inline distT="0" distB="0" distL="0" distR="0" wp14:anchorId="125A90F4" wp14:editId="377796D1">
            <wp:extent cx="5753100" cy="1552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pPr>
        <w:pStyle w:val="Akapitzlist"/>
        <w:numPr>
          <w:ilvl w:val="0"/>
          <w:numId w:val="35"/>
        </w:numPr>
      </w:pPr>
      <w:r>
        <w:t xml:space="preserve">Do wykazu umów po ugodzie dołożono dwie dodatkowe </w:t>
      </w:r>
      <w:proofErr w:type="gramStart"/>
      <w:r>
        <w:t>kolumny :</w:t>
      </w:r>
      <w:proofErr w:type="gramEnd"/>
    </w:p>
    <w:p w:rsidR="006D4D7F" w:rsidRDefault="006D4D7F" w:rsidP="006D4D7F">
      <w:pPr>
        <w:pStyle w:val="Akapitzlist"/>
      </w:pPr>
      <w:r>
        <w:t>- Przełożony pośrednika</w:t>
      </w:r>
    </w:p>
    <w:p w:rsidR="006D4D7F" w:rsidRDefault="006D4D7F" w:rsidP="006D4D7F">
      <w:pPr>
        <w:pStyle w:val="Akapitzlist"/>
      </w:pPr>
      <w:r>
        <w:t>- Data ugody (data zawarcia ugody)</w:t>
      </w:r>
    </w:p>
    <w:p w:rsidR="006D4D7F" w:rsidRDefault="006D4D7F" w:rsidP="006D4D7F">
      <w:pPr>
        <w:pStyle w:val="Akapitzlist"/>
      </w:pPr>
      <w:r>
        <w:t>Oraz filtr po Id umowy, przewadze obowiązywaniu ugody</w:t>
      </w:r>
    </w:p>
    <w:p w:rsidR="006D4D7F" w:rsidRDefault="006D4D7F" w:rsidP="006D4D7F"/>
    <w:p w:rsidR="006D4D7F" w:rsidRDefault="006D4D7F" w:rsidP="006D4D7F">
      <w:r>
        <w:rPr>
          <w:noProof/>
          <w:lang w:eastAsia="pl-PL"/>
        </w:rPr>
        <w:drawing>
          <wp:inline distT="0" distB="0" distL="0" distR="0" wp14:anchorId="3598D24C" wp14:editId="42C874B7">
            <wp:extent cx="5753100" cy="2800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pPr>
        <w:pStyle w:val="Akapitzlist"/>
        <w:numPr>
          <w:ilvl w:val="0"/>
          <w:numId w:val="35"/>
        </w:numPr>
      </w:pPr>
      <w:r>
        <w:t>W raporcie spłat dodano możliwość filtrowania spłat umów zawartych w określony zakresie dat</w:t>
      </w:r>
    </w:p>
    <w:p w:rsidR="006D4D7F" w:rsidRDefault="006D4D7F" w:rsidP="006D4D7F">
      <w:pPr>
        <w:pStyle w:val="Akapitzlist"/>
      </w:pPr>
    </w:p>
    <w:p w:rsidR="006D4D7F" w:rsidRDefault="006D4D7F" w:rsidP="006D4D7F">
      <w:r>
        <w:rPr>
          <w:noProof/>
          <w:lang w:eastAsia="pl-PL"/>
        </w:rPr>
        <w:lastRenderedPageBreak/>
        <w:drawing>
          <wp:inline distT="0" distB="0" distL="0" distR="0" wp14:anchorId="66F54107" wp14:editId="69CC96C9">
            <wp:extent cx="5753100" cy="3352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</w:pPr>
      <w:r>
        <w:t xml:space="preserve">Filtr ten włączamy/ wyłączmy w konfiguracji raporty spłat </w:t>
      </w:r>
    </w:p>
    <w:p w:rsidR="006D4D7F" w:rsidRDefault="006D4D7F" w:rsidP="006D4D7F">
      <w:r>
        <w:rPr>
          <w:noProof/>
          <w:lang w:eastAsia="pl-PL"/>
        </w:rPr>
        <w:drawing>
          <wp:inline distT="0" distB="0" distL="0" distR="0" wp14:anchorId="68C196C7" wp14:editId="65C23080">
            <wp:extent cx="5781675" cy="42291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pPr>
        <w:pStyle w:val="Akapitzlist"/>
        <w:numPr>
          <w:ilvl w:val="0"/>
          <w:numId w:val="35"/>
        </w:numPr>
      </w:pPr>
      <w:r>
        <w:lastRenderedPageBreak/>
        <w:t>Uproszczono filtr zdarzeń windykacyjnych</w:t>
      </w:r>
    </w:p>
    <w:p w:rsidR="006D4D7F" w:rsidRDefault="006D4D7F" w:rsidP="006D4D7F"/>
    <w:p w:rsidR="006D4D7F" w:rsidRDefault="006D4D7F" w:rsidP="006D4D7F">
      <w:pPr>
        <w:jc w:val="center"/>
      </w:pPr>
      <w:r>
        <w:rPr>
          <w:noProof/>
          <w:lang w:eastAsia="pl-PL"/>
        </w:rPr>
        <w:drawing>
          <wp:inline distT="0" distB="0" distL="0" distR="0" wp14:anchorId="781E2587" wp14:editId="379292B2">
            <wp:extent cx="5486400" cy="20193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7F" w:rsidRDefault="006D4D7F" w:rsidP="006D4D7F"/>
    <w:p w:rsidR="006D4D7F" w:rsidRDefault="006D4D7F" w:rsidP="006D4D7F">
      <w:pPr>
        <w:pStyle w:val="Akapitzlist"/>
        <w:numPr>
          <w:ilvl w:val="0"/>
          <w:numId w:val="35"/>
        </w:numPr>
      </w:pPr>
      <w:r>
        <w:t>Przy kopiowaniu produktu kopiują się również szablony kont oraz lista zdarzeń starego produktu</w:t>
      </w:r>
    </w:p>
    <w:p w:rsidR="006D4D7F" w:rsidRDefault="006D4D7F" w:rsidP="006D4D7F">
      <w:pPr>
        <w:ind w:left="360"/>
      </w:pPr>
    </w:p>
    <w:p w:rsidR="006D4D7F" w:rsidRDefault="006D4D7F" w:rsidP="006D4D7F">
      <w:pPr>
        <w:pStyle w:val="Akapitzlist"/>
        <w:numPr>
          <w:ilvl w:val="0"/>
          <w:numId w:val="35"/>
        </w:numPr>
      </w:pPr>
      <w:r>
        <w:t>Do importu danych klienta dodano dodatkowe pola takie jak:</w:t>
      </w:r>
    </w:p>
    <w:p w:rsidR="006D4D7F" w:rsidRDefault="006D4D7F" w:rsidP="006D4D7F">
      <w:pPr>
        <w:pStyle w:val="Akapitzlist"/>
      </w:pPr>
    </w:p>
    <w:p w:rsidR="006D4D7F" w:rsidRDefault="006D4D7F" w:rsidP="006D4D7F">
      <w:pPr>
        <w:pStyle w:val="Akapitzlist"/>
        <w:numPr>
          <w:ilvl w:val="0"/>
          <w:numId w:val="38"/>
        </w:numPr>
      </w:pPr>
      <w:r>
        <w:t>Nr ulicy</w:t>
      </w:r>
    </w:p>
    <w:p w:rsidR="006D4D7F" w:rsidRDefault="006D4D7F" w:rsidP="006D4D7F">
      <w:pPr>
        <w:pStyle w:val="Akapitzlist"/>
        <w:numPr>
          <w:ilvl w:val="0"/>
          <w:numId w:val="38"/>
        </w:numPr>
      </w:pPr>
      <w:r>
        <w:t>Telefon stacjonarny</w:t>
      </w:r>
    </w:p>
    <w:p w:rsidR="006D4D7F" w:rsidRDefault="006D4D7F" w:rsidP="006D4D7F">
      <w:pPr>
        <w:pStyle w:val="Akapitzlist"/>
        <w:numPr>
          <w:ilvl w:val="0"/>
          <w:numId w:val="38"/>
        </w:numPr>
      </w:pPr>
      <w:r>
        <w:t>Kod PKD</w:t>
      </w:r>
    </w:p>
    <w:p w:rsidR="006D4D7F" w:rsidRDefault="006D4D7F" w:rsidP="006D4D7F">
      <w:pPr>
        <w:pStyle w:val="Akapitzlist"/>
        <w:numPr>
          <w:ilvl w:val="0"/>
          <w:numId w:val="38"/>
        </w:numPr>
      </w:pPr>
      <w:r>
        <w:t>Uwagi (notatki)</w:t>
      </w:r>
    </w:p>
    <w:p w:rsidR="006D4D7F" w:rsidRDefault="006D4D7F" w:rsidP="006D4D7F">
      <w:pPr>
        <w:pStyle w:val="Akapitzlist"/>
        <w:numPr>
          <w:ilvl w:val="0"/>
          <w:numId w:val="38"/>
        </w:numPr>
      </w:pPr>
      <w:r>
        <w:t>Zgoda na przetwarzanie danych</w:t>
      </w:r>
    </w:p>
    <w:p w:rsidR="006D4D7F" w:rsidRDefault="006D4D7F" w:rsidP="006D4D7F">
      <w:pPr>
        <w:pStyle w:val="Akapitzlist"/>
        <w:numPr>
          <w:ilvl w:val="0"/>
          <w:numId w:val="38"/>
        </w:numPr>
      </w:pPr>
      <w:r>
        <w:t>Oddział (liczba)</w:t>
      </w:r>
    </w:p>
    <w:p w:rsidR="006D4D7F" w:rsidRDefault="006D4D7F" w:rsidP="006D4D7F">
      <w:pPr>
        <w:ind w:left="708"/>
      </w:pPr>
      <w:r>
        <w:t>Przy imporcie klienta możliwość utworzenia Osoby z firmą. Na podstawie danych tworzona jest firma, osoba fizyczna oraz powiązanie między nimi.</w:t>
      </w:r>
    </w:p>
    <w:p w:rsidR="006D4D7F" w:rsidRDefault="006D4D7F" w:rsidP="006D4D7F"/>
    <w:p w:rsidR="006D4D7F" w:rsidRDefault="006D4D7F" w:rsidP="006D4D7F">
      <w:pPr>
        <w:pStyle w:val="Akapitzlist"/>
      </w:pPr>
    </w:p>
    <w:p w:rsidR="003727F9" w:rsidRDefault="003727F9" w:rsidP="006D4D7F">
      <w:pPr>
        <w:pStyle w:val="Akapitzlist"/>
        <w:numPr>
          <w:ilvl w:val="0"/>
          <w:numId w:val="35"/>
        </w:numPr>
      </w:pPr>
      <w:r>
        <w:t xml:space="preserve">Zmiana w raporcie spłat udostępniono możliwość eksportu raportu spłat do formatu SCV syntetycznie bądź analitycznie. Funkcjonalność pozwala na zaczytanie danych wyeksportowanych do system </w:t>
      </w:r>
      <w:proofErr w:type="gramStart"/>
      <w:r>
        <w:t>FK który</w:t>
      </w:r>
      <w:proofErr w:type="gramEnd"/>
      <w:r>
        <w:t xml:space="preserve"> obsługuje format CSV.</w:t>
      </w:r>
    </w:p>
    <w:p w:rsidR="003727F9" w:rsidRDefault="003727F9" w:rsidP="003727F9">
      <w:pPr>
        <w:pStyle w:val="Akapitzlist"/>
        <w:ind w:left="502"/>
      </w:pPr>
    </w:p>
    <w:p w:rsidR="003727F9" w:rsidRDefault="003727F9" w:rsidP="003727F9">
      <w:pPr>
        <w:pStyle w:val="Akapitzlist"/>
        <w:ind w:left="502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2667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A1" w:rsidRDefault="004B1AA1" w:rsidP="004B1AA1">
      <w:pPr>
        <w:pStyle w:val="Akapitzlist"/>
      </w:pPr>
    </w:p>
    <w:p w:rsidR="006D4D7F" w:rsidRDefault="006D4D7F" w:rsidP="004B1AA1">
      <w:pPr>
        <w:pStyle w:val="Akapitzlist"/>
      </w:pPr>
    </w:p>
    <w:p w:rsidR="006D4D7F" w:rsidRDefault="006D4D7F" w:rsidP="004B1AA1">
      <w:pPr>
        <w:pStyle w:val="Akapitzlist"/>
      </w:pPr>
    </w:p>
    <w:p w:rsidR="006D4D7F" w:rsidRDefault="006D4D7F" w:rsidP="004B1AA1">
      <w:pPr>
        <w:pStyle w:val="Akapitzlist"/>
      </w:pPr>
      <w:r>
        <w:t>Instrukcja wgrania wersji 4.17H</w:t>
      </w:r>
    </w:p>
    <w:p w:rsidR="006D4D7F" w:rsidRDefault="006D4D7F" w:rsidP="004B1AA1">
      <w:pPr>
        <w:pStyle w:val="Akapitzlist"/>
      </w:pP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C" w:rsidRDefault="00192D5C" w:rsidP="004825D0">
      <w:pPr>
        <w:spacing w:after="0" w:line="240" w:lineRule="auto"/>
      </w:pPr>
      <w:r>
        <w:separator/>
      </w:r>
    </w:p>
  </w:endnote>
  <w:endnote w:type="continuationSeparator" w:id="0">
    <w:p w:rsidR="00192D5C" w:rsidRDefault="00192D5C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C" w:rsidRDefault="00192D5C" w:rsidP="004825D0">
      <w:pPr>
        <w:spacing w:after="0" w:line="240" w:lineRule="auto"/>
      </w:pPr>
      <w:r>
        <w:separator/>
      </w:r>
    </w:p>
  </w:footnote>
  <w:footnote w:type="continuationSeparator" w:id="0">
    <w:p w:rsidR="00192D5C" w:rsidRDefault="00192D5C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105B1"/>
    <w:multiLevelType w:val="hybridMultilevel"/>
    <w:tmpl w:val="0824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40390"/>
    <w:multiLevelType w:val="hybridMultilevel"/>
    <w:tmpl w:val="D3642942"/>
    <w:lvl w:ilvl="0" w:tplc="0EA2D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579E"/>
    <w:multiLevelType w:val="hybridMultilevel"/>
    <w:tmpl w:val="8E82B684"/>
    <w:lvl w:ilvl="0" w:tplc="62E8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6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35"/>
  </w:num>
  <w:num w:numId="4">
    <w:abstractNumId w:val="20"/>
  </w:num>
  <w:num w:numId="5">
    <w:abstractNumId w:val="28"/>
  </w:num>
  <w:num w:numId="6">
    <w:abstractNumId w:val="8"/>
  </w:num>
  <w:num w:numId="7">
    <w:abstractNumId w:val="32"/>
  </w:num>
  <w:num w:numId="8">
    <w:abstractNumId w:val="13"/>
  </w:num>
  <w:num w:numId="9">
    <w:abstractNumId w:val="3"/>
  </w:num>
  <w:num w:numId="10">
    <w:abstractNumId w:val="11"/>
  </w:num>
  <w:num w:numId="11">
    <w:abstractNumId w:val="37"/>
  </w:num>
  <w:num w:numId="12">
    <w:abstractNumId w:val="33"/>
  </w:num>
  <w:num w:numId="13">
    <w:abstractNumId w:val="24"/>
  </w:num>
  <w:num w:numId="14">
    <w:abstractNumId w:val="6"/>
  </w:num>
  <w:num w:numId="15">
    <w:abstractNumId w:val="16"/>
  </w:num>
  <w:num w:numId="16">
    <w:abstractNumId w:val="29"/>
  </w:num>
  <w:num w:numId="17">
    <w:abstractNumId w:val="4"/>
  </w:num>
  <w:num w:numId="18">
    <w:abstractNumId w:val="18"/>
  </w:num>
  <w:num w:numId="19">
    <w:abstractNumId w:val="30"/>
  </w:num>
  <w:num w:numId="20">
    <w:abstractNumId w:val="14"/>
  </w:num>
  <w:num w:numId="21">
    <w:abstractNumId w:val="36"/>
  </w:num>
  <w:num w:numId="22">
    <w:abstractNumId w:val="10"/>
  </w:num>
  <w:num w:numId="23">
    <w:abstractNumId w:val="19"/>
  </w:num>
  <w:num w:numId="24">
    <w:abstractNumId w:val="1"/>
  </w:num>
  <w:num w:numId="25">
    <w:abstractNumId w:val="2"/>
  </w:num>
  <w:num w:numId="26">
    <w:abstractNumId w:val="25"/>
  </w:num>
  <w:num w:numId="27">
    <w:abstractNumId w:val="34"/>
  </w:num>
  <w:num w:numId="28">
    <w:abstractNumId w:val="12"/>
  </w:num>
  <w:num w:numId="29">
    <w:abstractNumId w:val="5"/>
  </w:num>
  <w:num w:numId="30">
    <w:abstractNumId w:val="0"/>
  </w:num>
  <w:num w:numId="31">
    <w:abstractNumId w:val="17"/>
  </w:num>
  <w:num w:numId="32">
    <w:abstractNumId w:val="31"/>
  </w:num>
  <w:num w:numId="33">
    <w:abstractNumId w:val="15"/>
  </w:num>
  <w:num w:numId="34">
    <w:abstractNumId w:val="26"/>
  </w:num>
  <w:num w:numId="35">
    <w:abstractNumId w:val="7"/>
  </w:num>
  <w:num w:numId="36">
    <w:abstractNumId w:val="2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37565"/>
    <w:rsid w:val="00060A60"/>
    <w:rsid w:val="000B231B"/>
    <w:rsid w:val="000C586C"/>
    <w:rsid w:val="000D112E"/>
    <w:rsid w:val="000F1714"/>
    <w:rsid w:val="00110799"/>
    <w:rsid w:val="00166866"/>
    <w:rsid w:val="00180CD0"/>
    <w:rsid w:val="00186705"/>
    <w:rsid w:val="001873AC"/>
    <w:rsid w:val="00192D5C"/>
    <w:rsid w:val="001D5B6B"/>
    <w:rsid w:val="00202208"/>
    <w:rsid w:val="002145F7"/>
    <w:rsid w:val="0022452C"/>
    <w:rsid w:val="00245292"/>
    <w:rsid w:val="00270933"/>
    <w:rsid w:val="0029123F"/>
    <w:rsid w:val="00291520"/>
    <w:rsid w:val="00296013"/>
    <w:rsid w:val="002A5FDC"/>
    <w:rsid w:val="002C04CA"/>
    <w:rsid w:val="002C6DAF"/>
    <w:rsid w:val="003727F9"/>
    <w:rsid w:val="0037394F"/>
    <w:rsid w:val="003767D9"/>
    <w:rsid w:val="00385235"/>
    <w:rsid w:val="00385793"/>
    <w:rsid w:val="00396D86"/>
    <w:rsid w:val="003B04E7"/>
    <w:rsid w:val="003D09E4"/>
    <w:rsid w:val="00407328"/>
    <w:rsid w:val="00417284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D666A"/>
    <w:rsid w:val="004E0266"/>
    <w:rsid w:val="0050331E"/>
    <w:rsid w:val="00511268"/>
    <w:rsid w:val="005146F6"/>
    <w:rsid w:val="00536975"/>
    <w:rsid w:val="00591723"/>
    <w:rsid w:val="0059179F"/>
    <w:rsid w:val="00596406"/>
    <w:rsid w:val="005B2A20"/>
    <w:rsid w:val="005B4EBB"/>
    <w:rsid w:val="005C23BB"/>
    <w:rsid w:val="005C6E14"/>
    <w:rsid w:val="00603FA6"/>
    <w:rsid w:val="00610923"/>
    <w:rsid w:val="006350E3"/>
    <w:rsid w:val="0064755F"/>
    <w:rsid w:val="0067482B"/>
    <w:rsid w:val="006B0C10"/>
    <w:rsid w:val="006B353D"/>
    <w:rsid w:val="006D41A5"/>
    <w:rsid w:val="006D4D7F"/>
    <w:rsid w:val="006D6662"/>
    <w:rsid w:val="006E3123"/>
    <w:rsid w:val="006E7416"/>
    <w:rsid w:val="00706F70"/>
    <w:rsid w:val="007356A8"/>
    <w:rsid w:val="00752CE5"/>
    <w:rsid w:val="00780D6D"/>
    <w:rsid w:val="007836A8"/>
    <w:rsid w:val="00792018"/>
    <w:rsid w:val="007D79F2"/>
    <w:rsid w:val="007E4C93"/>
    <w:rsid w:val="00822413"/>
    <w:rsid w:val="0084555C"/>
    <w:rsid w:val="00862CC2"/>
    <w:rsid w:val="00870CFA"/>
    <w:rsid w:val="008D739F"/>
    <w:rsid w:val="008E3C21"/>
    <w:rsid w:val="008F3611"/>
    <w:rsid w:val="00967AEA"/>
    <w:rsid w:val="00984AFE"/>
    <w:rsid w:val="009B4B03"/>
    <w:rsid w:val="00A57056"/>
    <w:rsid w:val="00A6168B"/>
    <w:rsid w:val="00A664D1"/>
    <w:rsid w:val="00A66ED5"/>
    <w:rsid w:val="00A85671"/>
    <w:rsid w:val="00AB4917"/>
    <w:rsid w:val="00AC62D3"/>
    <w:rsid w:val="00AC6E03"/>
    <w:rsid w:val="00AD76C2"/>
    <w:rsid w:val="00B0274D"/>
    <w:rsid w:val="00B11146"/>
    <w:rsid w:val="00B23A05"/>
    <w:rsid w:val="00B274FC"/>
    <w:rsid w:val="00B31982"/>
    <w:rsid w:val="00B34490"/>
    <w:rsid w:val="00B438FC"/>
    <w:rsid w:val="00B50919"/>
    <w:rsid w:val="00B535DD"/>
    <w:rsid w:val="00B56D8D"/>
    <w:rsid w:val="00B71065"/>
    <w:rsid w:val="00B71BBC"/>
    <w:rsid w:val="00B82A6F"/>
    <w:rsid w:val="00B94CCF"/>
    <w:rsid w:val="00BA0D8F"/>
    <w:rsid w:val="00BA5A2B"/>
    <w:rsid w:val="00BB5D53"/>
    <w:rsid w:val="00BE4DF9"/>
    <w:rsid w:val="00BE7EA9"/>
    <w:rsid w:val="00C11288"/>
    <w:rsid w:val="00C256B7"/>
    <w:rsid w:val="00C54801"/>
    <w:rsid w:val="00C71312"/>
    <w:rsid w:val="00C8497B"/>
    <w:rsid w:val="00CB62AB"/>
    <w:rsid w:val="00CD0094"/>
    <w:rsid w:val="00CD0BBB"/>
    <w:rsid w:val="00CD3054"/>
    <w:rsid w:val="00D8200B"/>
    <w:rsid w:val="00D8415F"/>
    <w:rsid w:val="00D92604"/>
    <w:rsid w:val="00DD55E1"/>
    <w:rsid w:val="00DD6C95"/>
    <w:rsid w:val="00DE7CD9"/>
    <w:rsid w:val="00E36A02"/>
    <w:rsid w:val="00E6037B"/>
    <w:rsid w:val="00E64654"/>
    <w:rsid w:val="00E67C72"/>
    <w:rsid w:val="00EC3A5B"/>
    <w:rsid w:val="00ED13AC"/>
    <w:rsid w:val="00F242DC"/>
    <w:rsid w:val="00F51084"/>
    <w:rsid w:val="00FB25FB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4</cp:revision>
  <dcterms:created xsi:type="dcterms:W3CDTF">2014-02-05T12:28:00Z</dcterms:created>
  <dcterms:modified xsi:type="dcterms:W3CDTF">2014-02-10T10:08:00Z</dcterms:modified>
</cp:coreProperties>
</file>